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16" w:rsidRPr="00BC1316" w:rsidRDefault="00BC1316" w:rsidP="00BC131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5"/>
      </w:tblGrid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ідтверджую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ідентичність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загальнодоступній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1316" w:rsidRPr="00BC1316" w:rsidRDefault="00BC1316" w:rsidP="00BC1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8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1847"/>
        <w:gridCol w:w="8426"/>
        <w:gridCol w:w="1847"/>
        <w:gridCol w:w="3750"/>
      </w:tblGrid>
      <w:tr w:rsidR="00BC1316" w:rsidRPr="00BC1316" w:rsidTr="00BC131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</w:tr>
      <w:tr w:rsidR="00BC1316" w:rsidRPr="00BC1316" w:rsidTr="00BC1316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BC1316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0"/>
              </w:rPr>
              <w:t>ідпис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BC1316">
              <w:rPr>
                <w:rFonts w:ascii="Times New Roman" w:eastAsia="Times New Roman" w:hAnsi="Times New Roman" w:cs="Times New Roman"/>
                <w:sz w:val="20"/>
              </w:rPr>
              <w:t>пр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0"/>
              </w:rPr>
              <w:t>ізвище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 xml:space="preserve">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0"/>
              </w:rPr>
              <w:t>ініціали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0"/>
              </w:rPr>
              <w:t>керівника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BC1316" w:rsidRPr="00BC1316" w:rsidTr="00BC1316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27.04.2015</w:t>
            </w:r>
          </w:p>
        </w:tc>
      </w:tr>
      <w:tr w:rsidR="00BC1316" w:rsidRPr="00BC1316" w:rsidTr="00BC131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</w:tbl>
    <w:p w:rsidR="00BC1316" w:rsidRPr="00BC1316" w:rsidRDefault="00BC1316" w:rsidP="00BC1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316" w:rsidRPr="00BC1316" w:rsidRDefault="00BC1316" w:rsidP="00BC1316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BC1316" w:rsidRPr="00BC1316" w:rsidRDefault="00BC1316" w:rsidP="00BC1316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tbl>
      <w:tblPr>
        <w:tblW w:w="18870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0"/>
      </w:tblGrid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1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ПРИВАТНЕ АКЦ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ОНЕРНЕ ТОВАРИСТВО </w:t>
            </w:r>
          </w:p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"МАРМУРОВИЙ КАР"Є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"ТРИБУШАНИ"</w:t>
            </w: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а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кціонерне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ind w:left="-202"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90625, село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Дiлове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24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gramStart"/>
            <w:r w:rsidR="00C524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овбуша,34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Рахівський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район, Закарпатська область</w:t>
            </w: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4. Код за ЄДРПОУ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00292557</w:t>
            </w: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Міжміський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та телефон, 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03132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25006</w:t>
            </w: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vladimir_tomashuk@rambler.ru</w:t>
            </w:r>
          </w:p>
        </w:tc>
      </w:tr>
      <w:tr w:rsidR="00BC1316" w:rsidRPr="00BC1316" w:rsidTr="00BC13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16" w:rsidRPr="00BC1316" w:rsidTr="00BC1316">
        <w:tc>
          <w:tcPr>
            <w:tcW w:w="0" w:type="auto"/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316" w:rsidRPr="00BC1316" w:rsidRDefault="00BC1316" w:rsidP="00BC1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316" w:rsidRPr="00BC1316" w:rsidRDefault="00BC1316" w:rsidP="00BC1316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proofErr w:type="gram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proofErr w:type="gram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18598" w:type="dxa"/>
        <w:tblInd w:w="-3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1"/>
        <w:gridCol w:w="1805"/>
        <w:gridCol w:w="2147"/>
        <w:gridCol w:w="1755"/>
      </w:tblGrid>
      <w:tr w:rsidR="00BC1316" w:rsidRPr="00BC1316" w:rsidTr="0047475C">
        <w:tc>
          <w:tcPr>
            <w:tcW w:w="16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загальнодоступній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="00764B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429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4B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27.04.2015р.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27.04.2015</w:t>
            </w:r>
          </w:p>
        </w:tc>
      </w:tr>
      <w:tr w:rsidR="00BC1316" w:rsidRPr="00BC1316" w:rsidTr="0047475C">
        <w:tc>
          <w:tcPr>
            <w:tcW w:w="16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  <w:tr w:rsidR="00BC1316" w:rsidRPr="00BC1316" w:rsidTr="0047475C">
        <w:tc>
          <w:tcPr>
            <w:tcW w:w="11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опубліковано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764B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Бюлетень. Цінні папери України №77 від 29.04.2015р.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16" w:rsidRPr="00BC1316" w:rsidTr="0047475C">
        <w:tc>
          <w:tcPr>
            <w:tcW w:w="11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 xml:space="preserve">(номер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0"/>
              </w:rPr>
              <w:t>найменування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0"/>
              </w:rPr>
              <w:t>офіційного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0"/>
              </w:rPr>
              <w:t>друкованого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0"/>
              </w:rPr>
              <w:t>видання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  <w:tr w:rsidR="00BC1316" w:rsidRPr="00BC1316" w:rsidTr="0047475C">
        <w:tc>
          <w:tcPr>
            <w:tcW w:w="11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сторінці</w:t>
            </w:r>
            <w:proofErr w:type="spellEnd"/>
            <w:r w:rsidR="00764B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A2D2F" w:rsidRPr="007A2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keramed</w:t>
            </w:r>
            <w:proofErr w:type="spellEnd"/>
            <w:r w:rsidR="00764B87" w:rsidRPr="00764B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64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prat</w:t>
            </w:r>
            <w:proofErr w:type="spellEnd"/>
            <w:r w:rsidR="00764B87" w:rsidRPr="00764B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4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764B87" w:rsidRPr="00764B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64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="007A2D2F" w:rsidRPr="007A2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2D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7A2D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 w:rsidR="007A2D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мережі </w:t>
            </w:r>
            <w:proofErr w:type="spellStart"/>
            <w:r w:rsidR="007A2D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="007A2D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28.04.2015р.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16" w:rsidRPr="00BC1316" w:rsidTr="0047475C">
        <w:tc>
          <w:tcPr>
            <w:tcW w:w="11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 xml:space="preserve">(адреса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0"/>
              </w:rPr>
              <w:t>сторінки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</w:tbl>
    <w:p w:rsidR="00BC1316" w:rsidRDefault="00BC1316" w:rsidP="00BC131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1316" w:rsidRDefault="00BC1316" w:rsidP="00BC131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64B87" w:rsidRDefault="00764B87" w:rsidP="00BC131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64B87" w:rsidRDefault="00764B87" w:rsidP="00BC131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1316" w:rsidRPr="00BC1316" w:rsidRDefault="00BC1316" w:rsidP="00BC131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Відомості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зміну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складу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посадових</w:t>
      </w:r>
      <w:proofErr w:type="spell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proofErr w:type="gramEnd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емітента</w:t>
      </w:r>
      <w:proofErr w:type="spellEnd"/>
    </w:p>
    <w:tbl>
      <w:tblPr>
        <w:tblW w:w="10693" w:type="dxa"/>
        <w:tblInd w:w="-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09"/>
        <w:gridCol w:w="1559"/>
        <w:gridCol w:w="1984"/>
        <w:gridCol w:w="1560"/>
        <w:gridCol w:w="2045"/>
      </w:tblGrid>
      <w:tr w:rsidR="00BC1316" w:rsidRPr="00BC1316" w:rsidTr="00BC1316">
        <w:trPr>
          <w:tblHeader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вчинення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дії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Зміни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призначено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звільнено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припинено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повноваження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ізвище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ім'я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по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батькові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фізичної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повне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Паспортні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дані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фізичної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ідентифікаційний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код за ЄДРПОУ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Розмі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частки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статутному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капіталі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емітента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відсотках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C1316" w:rsidRPr="00BC1316" w:rsidTr="00BC1316">
        <w:trPr>
          <w:tblHeader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C1316" w:rsidRPr="00BC1316" w:rsidTr="00BC1316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Єп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фанцева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Сергiївна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рiшення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Рiчних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зборiв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акцiонерiв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26.04.2015 року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перебувала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316" w:rsidRPr="00BC1316" w:rsidTr="00BC1316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Веселовська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рiшення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Рiчних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зборiв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акцiонерiв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26.04.2015 року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перебувала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316" w:rsidRPr="00BC1316" w:rsidTr="00BC1316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 АКЦ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ОНЕРНЕ ТОВАРИСТВО "ГIРНИЧО-РУДНI ТЕХНОЛОГIЇ"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75.3860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рiшення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Рiчних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зборiв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акцiонерiв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26.04.2015 року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перебувала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316" w:rsidRPr="00BC1316" w:rsidTr="00BC1316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Цибульник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ївна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рiшення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Рiчних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зборiв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акцiонерiв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26.04.2015 року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членом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осадову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три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роки.Посадова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останнiх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обiймала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фiнансовий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директор.</w:t>
            </w:r>
          </w:p>
        </w:tc>
      </w:tr>
      <w:tr w:rsidR="00BC1316" w:rsidRPr="00BC1316" w:rsidTr="00BC1316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26.04.2015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рiшення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Рiчних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зборiв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акцiонерiв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26.04.2015 року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членом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осадову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три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роки.Посадова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останнiх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обiймала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помiчник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директора.</w:t>
            </w:r>
          </w:p>
        </w:tc>
      </w:tr>
      <w:tr w:rsidR="00BC1316" w:rsidRPr="00BC1316" w:rsidTr="00BC1316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26.04.2015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нютiна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Дмитрiївна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C1316" w:rsidRPr="00BC1316" w:rsidTr="00BC1316">
        <w:tc>
          <w:tcPr>
            <w:tcW w:w="10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рiшення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Рiчних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зборiв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акцiонерiв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26.04.2015 року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членом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Непогашеної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</w:t>
            </w:r>
            <w:proofErr w:type="gram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осадову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три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роки.Посадова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останнiх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>обiймала</w:t>
            </w:r>
            <w:proofErr w:type="spellEnd"/>
            <w:r w:rsidRPr="00B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посад.</w:t>
            </w:r>
          </w:p>
        </w:tc>
      </w:tr>
    </w:tbl>
    <w:p w:rsidR="0047030F" w:rsidRDefault="0047030F"/>
    <w:sectPr w:rsidR="0047030F" w:rsidSect="00BC13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316"/>
    <w:rsid w:val="0044296E"/>
    <w:rsid w:val="0047030F"/>
    <w:rsid w:val="0047475C"/>
    <w:rsid w:val="00764B87"/>
    <w:rsid w:val="007A2D2F"/>
    <w:rsid w:val="00BC1316"/>
    <w:rsid w:val="00C5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1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C13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3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C13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mall-text">
    <w:name w:val="small-text"/>
    <w:basedOn w:val="a0"/>
    <w:rsid w:val="00BC1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2015-04-28T05:51:00Z</dcterms:created>
  <dcterms:modified xsi:type="dcterms:W3CDTF">2015-04-28T06:10:00Z</dcterms:modified>
</cp:coreProperties>
</file>